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lang w:val="nl-NL"/>
        </w:rPr>
      </w:pPr>
      <w:r>
        <w:rPr>
          <w:lang w:val="nl-NL"/>
        </w:rPr>
        <w:t>JAARBOEK GESCHIEDENIS ARBEIDERSBEWEGING EN SOCIALISME</w:t>
      </w:r>
    </w:p>
    <w:p>
      <w:pPr>
        <w:pStyle w:val="Normal"/>
        <w:rPr>
          <w:lang w:val="nl-NL"/>
        </w:rPr>
      </w:pPr>
      <w:r>
        <w:rPr>
          <w:lang w:val="nl-NL"/>
        </w:rPr>
      </w:r>
    </w:p>
    <w:p>
      <w:pPr>
        <w:pStyle w:val="Normal"/>
        <w:rPr>
          <w:lang w:val="nl-NL"/>
        </w:rPr>
      </w:pPr>
      <w:r>
        <w:rPr>
          <w:lang w:val="nl-NL"/>
        </w:rPr>
        <w:t xml:space="preserve">De arbeidersbeweging en het socialisme in Nederland kennen niet alleen een rijke geschiedenis, maar ook een rijke geschiedschrijving. Dat is niet vreemd, want beide bewegingen waren beeldbepalend en van grote invloed tijdens de negentiende en twintigste eeuw. Beiden kwamen op met de industrialisering en ‘modernisering’ van de samenleving en waren er zowel een product van als een reactie op. Daarnaast functioneren beide bewegingen in de geschiedschrijving dikwijls als venster op dit tijdvak: het ingetogen, luidkeels of anderszins ontregelend protest uit deze hoek werpt  licht op cruciale breuklijnen in het maatschappelijk verkeer. </w:t>
      </w:r>
    </w:p>
    <w:p>
      <w:pPr>
        <w:pStyle w:val="Normal"/>
        <w:rPr>
          <w:lang w:val="nl-NL"/>
        </w:rPr>
      </w:pPr>
      <w:r>
        <w:rPr>
          <w:lang w:val="nl-NL"/>
        </w:rPr>
        <w:t xml:space="preserve">Over de arbeidersbeweging en het socialisme in Nederland is daarom veel geschreven. Niet alleen in boekvorm, maar ook in tijdschriften. Vanaf de jaren zeventig is zelfs een chronologie op te tekenen van opeenvolgende periodieken. Van het </w:t>
      </w:r>
      <w:r>
        <w:rPr>
          <w:i/>
          <w:iCs/>
          <w:lang w:val="nl-NL"/>
        </w:rPr>
        <w:t>Jaarboek voor de geschiedenis van socialisme en arbeidersbeweging in Nederland</w:t>
      </w:r>
      <w:r>
        <w:rPr>
          <w:lang w:val="nl-NL"/>
        </w:rPr>
        <w:t xml:space="preserve"> (1977-1981), naar het </w:t>
      </w:r>
      <w:r>
        <w:rPr>
          <w:i/>
          <w:iCs/>
          <w:lang w:val="nl-NL"/>
        </w:rPr>
        <w:t xml:space="preserve">Bulletin Nederlandse arbeidersbeweging </w:t>
      </w:r>
      <w:r>
        <w:rPr>
          <w:lang w:val="nl-NL"/>
        </w:rPr>
        <w:t xml:space="preserve">(1983-1995) tot </w:t>
      </w:r>
      <w:r>
        <w:rPr>
          <w:i/>
          <w:iCs/>
          <w:lang w:val="nl-NL"/>
        </w:rPr>
        <w:t>Onvoltooid verleden</w:t>
      </w:r>
      <w:r>
        <w:rPr>
          <w:lang w:val="nl-NL"/>
        </w:rPr>
        <w:t xml:space="preserve"> (1997-2008). </w:t>
      </w:r>
    </w:p>
    <w:p>
      <w:pPr>
        <w:pStyle w:val="Normal"/>
        <w:rPr>
          <w:lang w:val="nl-NL"/>
        </w:rPr>
      </w:pPr>
      <w:r>
        <w:rPr>
          <w:lang w:val="nl-NL"/>
        </w:rPr>
        <w:t xml:space="preserve">Dergelijke tijdschriften functioneerden niet alleen als podium, via welke onderzoeksresultaten gedeeld konden worden. Ze vervulden ook een platform-functie. Een tijdschrift vervult een bredere rol dan slechts een uitgave: het is een plek van samenkomst. Vakgenoten vinden elkaar via een tijdschrift, organiseren lezingen, symposia en discussies, wisselen ervaringen en inzichten uit, wijzen elkaar op nieuwe literatuur, bronnen en onderzoeksmethodes. </w:t>
      </w:r>
    </w:p>
    <w:p>
      <w:pPr>
        <w:pStyle w:val="Normal"/>
        <w:rPr>
          <w:lang w:val="nl-NL"/>
        </w:rPr>
      </w:pPr>
      <w:r>
        <w:rPr>
          <w:lang w:val="nl-NL"/>
        </w:rPr>
        <w:t xml:space="preserve">Op dit moment is er geen tijdschrift dat zich richt op de geschiedenis van arbeidersbeweging en socialisme in Nederland. Daardoor is er ook geen plek waar vakgenoten ideeën en ervaringen kunnen uitwisselen. Door opnieuw een </w:t>
      </w:r>
      <w:r>
        <w:rPr>
          <w:i/>
          <w:iCs/>
          <w:lang w:val="nl-NL"/>
        </w:rPr>
        <w:t xml:space="preserve">Jaarboek Geschiedenis Arbeidersbeweging en Socialisme </w:t>
      </w:r>
      <w:r>
        <w:rPr>
          <w:lang w:val="nl-NL"/>
        </w:rPr>
        <w:t>te starten, willen we een ruimte creëren waar onderzoek gepubliceerd kan worden en waar onderzoekers met elkaar in contact kunnen treden. We zien het jaarboek expliciet niet alleen als een uitgave, maar ook als een knooppunt binnen een breder netwerk van vakgenoten.</w:t>
      </w:r>
    </w:p>
    <w:p>
      <w:pPr>
        <w:pStyle w:val="Normal"/>
        <w:rPr>
          <w:lang w:val="nl-NL"/>
        </w:rPr>
      </w:pPr>
      <w:r>
        <w:rPr>
          <w:lang w:val="nl-NL"/>
        </w:rPr>
        <w:t xml:space="preserve">Arbeidersbeweging en socialisme zijn niet hetzelfde. In de geschiedenis waren er tevens katholieke, protestante en rechtse arbeidersbewegingen. Ook waren socialisten lang niet altijd arbeiders. We richten ons met ons jaarboek op de geschiedenis van beide fenomenen – arbeidersbeweging en socialisme in Nederland – in de brede zin van het woord. We richten ons qua tijdsperiode vooral op de negentiende en twintigste eeuw, maar zijn ook geïnteresseerd in arbeiders, arbeidersbewegingen en “voorlopers” van “moderne” socialisten uit eerdere periodes. </w:t>
      </w:r>
    </w:p>
    <w:p>
      <w:pPr>
        <w:pStyle w:val="Normal"/>
        <w:rPr>
          <w:lang w:val="nl-NL"/>
        </w:rPr>
      </w:pPr>
      <w:r>
        <w:rPr>
          <w:lang w:val="nl-NL"/>
        </w:rPr>
        <w:t xml:space="preserve">Ook Nederland vatten we op in brede zin. In de tijdsperiode waarop we ons richten strekte ‘Nederland’ zich uit van de Caraïben tot Azië. Ook in deze gebieden ontstonden arbeidersbewegingen en socialistische groepen en organisaties. Dikwijls stonden die met elkaar in contact en beïnvloedden zij elkaar. Ook hiervoor willen we aandacht genereren met ons jaarboek. </w:t>
      </w:r>
    </w:p>
    <w:p>
      <w:pPr>
        <w:pStyle w:val="Normal"/>
        <w:rPr>
          <w:lang w:val="nl-NL"/>
        </w:rPr>
      </w:pPr>
      <w:r>
        <w:rPr>
          <w:lang w:val="nl-NL"/>
        </w:rPr>
        <w:t xml:space="preserve">Met deze conceptuele, geografische en chronologische uitbreiding bouwen we voort op de aanpak van </w:t>
      </w:r>
      <w:r>
        <w:rPr>
          <w:i/>
          <w:iCs/>
          <w:lang w:val="nl-NL"/>
        </w:rPr>
        <w:t>Global Labour History</w:t>
      </w:r>
      <w:r>
        <w:rPr>
          <w:lang w:val="nl-NL"/>
        </w:rPr>
        <w:t xml:space="preserve">. Bovendien willen wij aandacht geven aan </w:t>
      </w:r>
      <w:r>
        <w:rPr>
          <w:i/>
          <w:iCs/>
          <w:lang w:val="nl-NL"/>
        </w:rPr>
        <w:t>micro-histories</w:t>
      </w:r>
      <w:r>
        <w:rPr>
          <w:lang w:val="nl-NL"/>
        </w:rPr>
        <w:t>, lokale geschiedenissen en interdisciplinaire perspectieven. Deze diversiteit aan perspectieven kan onze geschiedschrijving van arbeidsbewegingen en socialisme alleen maar rijker maken.</w:t>
      </w:r>
    </w:p>
    <w:p>
      <w:pPr>
        <w:pStyle w:val="Normal"/>
        <w:rPr>
          <w:lang w:val="nl-NL"/>
        </w:rPr>
      </w:pPr>
      <w:r>
        <w:rPr>
          <w:lang w:val="nl-NL"/>
        </w:rPr>
        <w:t xml:space="preserve">Voor het Jaarboek willen we werken met een kleine kernredactie, omringd door een breed netwerk. Ieder jaar presenteren we 4 tot 6 onderzoeksartikelen van 6000-8000 woorden (incl. voetnoten), een diepte-interview en enkele boekrecensies. </w:t>
      </w:r>
    </w:p>
    <w:p>
      <w:pPr>
        <w:pStyle w:val="Normal"/>
        <w:rPr>
          <w:lang w:val="nl-NL"/>
        </w:rPr>
      </w:pPr>
      <w:r>
        <w:rPr>
          <w:lang w:val="nl-NL"/>
        </w:rPr>
      </w:r>
    </w:p>
    <w:p>
      <w:pPr>
        <w:pStyle w:val="Normal"/>
        <w:rPr/>
      </w:pPr>
      <w:r>
        <w:rPr/>
        <w:t>De redactie bestaat uit Marieke Dwarswaard, Thomas van Gaalen, Rosa Kösters, Josie Läuferts, Bart van der Steen, Pepijn Trienekens en Amber Zijlma.</w:t>
      </w:r>
    </w:p>
    <w:p>
      <w:pPr>
        <w:pStyle w:val="Normal"/>
        <w:rPr/>
      </w:pPr>
      <w:r>
        <w:rPr/>
        <w:t xml:space="preserve">Ons Comité van Aanbeveling wordt gevormd door </w:t>
      </w:r>
      <w:bookmarkStart w:id="0" w:name="__DdeLink__27_2988201930"/>
      <w:r>
        <w:rPr/>
        <w:t>Pepijn Brandon, Margo Groenewoud, Carla Hoetink en Marcel van der Linden.</w:t>
      </w:r>
      <w:bookmarkEnd w:id="0"/>
    </w:p>
    <w:p>
      <w:pPr>
        <w:pStyle w:val="Normal"/>
        <w:rPr>
          <w:lang w:val="nl-NL"/>
        </w:rPr>
      </w:pPr>
      <w:r>
        <w:rPr>
          <w:lang w:val="nl-NL"/>
        </w:rPr>
      </w:r>
    </w:p>
    <w:p>
      <w:pPr>
        <w:pStyle w:val="Normal"/>
        <w:spacing w:before="0" w:after="160"/>
        <w:rPr>
          <w:lang w:val="nl-NL"/>
        </w:rPr>
      </w:pPr>
      <w:r>
        <w:rPr>
          <w:lang w:val="nl-NL"/>
        </w:rPr>
      </w:r>
    </w:p>
    <w:sectPr>
      <w:footerReference w:type="even" r:id="rId2"/>
      <w:footerReference w:type="default" r:id="rId3"/>
      <w:footerReference w:type="first" r:id="rId4"/>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Aptos">
    <w:charset w:val="01" w:characterSet="utf-8"/>
    <w:family w:val="roman"/>
    <w:pitch w:val="variable"/>
  </w:font>
  <w:font w:name="Aptos Display">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635" distB="0" distL="0" distR="0" simplePos="0" relativeHeight="2" behindDoc="1" locked="0" layoutInCell="0" allowOverlap="1" wp14:anchorId="618B9D34">
              <wp:simplePos x="0" y="0"/>
              <wp:positionH relativeFrom="page">
                <wp:align>left</wp:align>
              </wp:positionH>
              <wp:positionV relativeFrom="page">
                <wp:align>bottom</wp:align>
              </wp:positionV>
              <wp:extent cx="1814830" cy="370205"/>
              <wp:effectExtent l="0" t="635" r="0" b="0"/>
              <wp:wrapNone/>
              <wp:docPr id="1" name="Text Box 2" descr="Classified as Internal | Intern"/>
              <a:graphic xmlns:a="http://schemas.openxmlformats.org/drawingml/2006/main">
                <a:graphicData uri="http://schemas.microsoft.com/office/word/2010/wordprocessingShape">
                  <wps:wsp>
                    <wps:cNvSpPr/>
                    <wps:spPr>
                      <a:xfrm>
                        <a:off x="0" y="0"/>
                        <a:ext cx="1814760" cy="370080"/>
                      </a:xfrm>
                      <a:prstGeom prst="rect">
                        <a:avLst/>
                      </a:prstGeom>
                      <a:noFill/>
                      <a:ln w="0">
                        <a:noFill/>
                      </a:ln>
                    </wps:spPr>
                    <wps:style>
                      <a:lnRef idx="0"/>
                      <a:fillRef idx="0"/>
                      <a:effectRef idx="0"/>
                      <a:fontRef idx="minor"/>
                    </wps:style>
                    <wps:txbx>
                      <w:txbxContent>
                        <w:p>
                          <w:pPr>
                            <w:pStyle w:val="FrameContents"/>
                            <w:spacing w:before="0" w:after="0"/>
                            <w:rPr>
                              <w:rFonts w:ascii="Aptos" w:hAnsi="Aptos" w:eastAsia="Aptos" w:cs="Aptos"/>
                              <w:color w:val="000000"/>
                              <w:sz w:val="20"/>
                              <w:szCs w:val="20"/>
                            </w:rPr>
                          </w:pPr>
                          <w:r>
                            <w:rPr>
                              <w:rFonts w:eastAsia="Aptos" w:cs="Aptos"/>
                              <w:color w:val="000000"/>
                              <w:sz w:val="20"/>
                              <w:szCs w:val="20"/>
                            </w:rPr>
                            <w:t>Classified as Internal | Intern</w:t>
                          </w:r>
                        </w:p>
                      </w:txbxContent>
                    </wps:txbx>
                    <wps:bodyPr lIns="254160" tIns="0" rIns="0" bIns="190440" anchor="b">
                      <a:prstTxWarp prst="textNoShape"/>
                      <a:spAutoFit/>
                    </wps:bodyPr>
                  </wps:wsp>
                </a:graphicData>
              </a:graphic>
            </wp:anchor>
          </w:drawing>
        </mc:Choice>
        <mc:Fallback>
          <w:pict>
            <v:rect id="shape_0" stroked="f" o:allowincell="f" style="position:absolute;margin-left:0pt;margin-top:0pt;width:142.85pt;height:29.1pt;mso-wrap-style:square;v-text-anchor:bottom;mso-position-horizontal:left;mso-position-horizontal-relative:page;mso-position-vertical:bottom;mso-position-vertical-relative:page" wp14:anchorId="618B9D34">
              <v:fill o:detectmouseclick="t" on="false"/>
              <v:stroke color="#3465a4" joinstyle="round" endcap="flat"/>
              <v:textbox>
                <w:txbxContent>
                  <w:p>
                    <w:pPr>
                      <w:pStyle w:val="FrameContents"/>
                      <w:spacing w:before="0" w:after="0"/>
                      <w:rPr>
                        <w:rFonts w:ascii="Aptos" w:hAnsi="Aptos" w:eastAsia="Aptos" w:cs="Aptos"/>
                        <w:color w:val="000000"/>
                        <w:sz w:val="20"/>
                        <w:szCs w:val="20"/>
                      </w:rPr>
                    </w:pPr>
                    <w:r>
                      <w:rPr>
                        <w:rFonts w:eastAsia="Aptos" w:cs="Aptos"/>
                        <w:color w:val="000000"/>
                        <w:sz w:val="20"/>
                        <w:szCs w:val="20"/>
                      </w:rPr>
                      <w:t>Classified as Internal | Intern</w:t>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NL"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start"/>
    </w:pPr>
    <w:rPr>
      <w:rFonts w:ascii="Aptos" w:hAnsi="Aptos" w:eastAsia="Aptos" w:cs="" w:asciiTheme="minorHAnsi" w:cstheme="minorBidi" w:eastAsiaTheme="minorHAnsi" w:hAnsiTheme="minorHAnsi"/>
      <w:color w:val="auto"/>
      <w:kern w:val="2"/>
      <w:sz w:val="24"/>
      <w:szCs w:val="24"/>
      <w:lang w:val="en-NL" w:eastAsia="en-US" w:bidi="ar-SA"/>
      <w14:ligatures w14:val="standardContextual"/>
    </w:rPr>
  </w:style>
  <w:style w:type="paragraph" w:styleId="Heading1">
    <w:name w:val="heading 1"/>
    <w:basedOn w:val="Normal"/>
    <w:next w:val="Normal"/>
    <w:link w:val="Heading1Char"/>
    <w:uiPriority w:val="9"/>
    <w:qFormat/>
    <w:rsid w:val="00582b94"/>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582b94"/>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582b94"/>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582b94"/>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582b94"/>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582b94"/>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582b94"/>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582b94"/>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582b94"/>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582b94"/>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582b94"/>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582b94"/>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582b94"/>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582b94"/>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582b94"/>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582b94"/>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582b94"/>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582b94"/>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582b94"/>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582b94"/>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582b94"/>
    <w:rPr>
      <w:i/>
      <w:iCs/>
      <w:color w:themeColor="text1" w:themeTint="bf" w:val="404040"/>
    </w:rPr>
  </w:style>
  <w:style w:type="character" w:styleId="IntenseEmphasis">
    <w:name w:val="Intense Emphasis"/>
    <w:basedOn w:val="DefaultParagraphFont"/>
    <w:uiPriority w:val="21"/>
    <w:qFormat/>
    <w:rsid w:val="00582b94"/>
    <w:rPr>
      <w:i/>
      <w:iCs/>
      <w:color w:themeColor="accent1" w:themeShade="bf" w:val="0F4761"/>
    </w:rPr>
  </w:style>
  <w:style w:type="character" w:styleId="IntenseQuoteChar" w:customStyle="1">
    <w:name w:val="Intense Quote Char"/>
    <w:basedOn w:val="DefaultParagraphFont"/>
    <w:link w:val="IntenseQuote"/>
    <w:uiPriority w:val="30"/>
    <w:qFormat/>
    <w:rsid w:val="00582b94"/>
    <w:rPr>
      <w:i/>
      <w:iCs/>
      <w:color w:themeColor="accent1" w:themeShade="bf" w:val="0F4761"/>
    </w:rPr>
  </w:style>
  <w:style w:type="character" w:styleId="IntenseReference">
    <w:name w:val="Intense Reference"/>
    <w:basedOn w:val="DefaultParagraphFont"/>
    <w:uiPriority w:val="32"/>
    <w:qFormat/>
    <w:rsid w:val="00582b94"/>
    <w:rPr>
      <w:b/>
      <w:bCs/>
      <w:smallCaps/>
      <w:color w:themeColor="accent1" w:themeShade="bf" w:val="0F4761"/>
      <w:spacing w:val="5"/>
    </w:rPr>
  </w:style>
  <w:style w:type="character" w:styleId="Hyperlink">
    <w:name w:val="Hyperlink"/>
    <w:basedOn w:val="DefaultParagraphFont"/>
    <w:uiPriority w:val="99"/>
    <w:unhideWhenUsed/>
    <w:rsid w:val="00db078c"/>
    <w:rPr>
      <w:color w:themeColor="hyperlink" w:val="467886"/>
      <w:u w:val="single"/>
    </w:rPr>
  </w:style>
  <w:style w:type="character" w:styleId="UnresolvedMention">
    <w:name w:val="Unresolved Mention"/>
    <w:basedOn w:val="DefaultParagraphFont"/>
    <w:uiPriority w:val="99"/>
    <w:semiHidden/>
    <w:unhideWhenUsed/>
    <w:qFormat/>
    <w:rsid w:val="00db078c"/>
    <w:rPr>
      <w:color w:val="605E5C"/>
      <w:shd w:fill="E1DFDD" w:val="clear"/>
    </w:rPr>
  </w:style>
  <w:style w:type="character" w:styleId="CommentTextChar" w:customStyle="1">
    <w:name w:val="Comment Text Char"/>
    <w:basedOn w:val="DefaultParagraphFont"/>
    <w:link w:val="CommentText"/>
    <w:uiPriority w:val="99"/>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FooterChar" w:customStyle="1">
    <w:name w:val="Footer Char"/>
    <w:basedOn w:val="DefaultParagraphFont"/>
    <w:link w:val="Footer"/>
    <w:uiPriority w:val="99"/>
    <w:qFormat/>
    <w:rsid w:val="00f55c03"/>
    <w:rPr/>
  </w:style>
  <w:style w:type="character" w:styleId="HeaderChar" w:customStyle="1">
    <w:name w:val="Header Char"/>
    <w:basedOn w:val="DefaultParagraphFont"/>
    <w:link w:val="Header"/>
    <w:uiPriority w:val="99"/>
    <w:qFormat/>
    <w:rsid w:val="00eb220f"/>
    <w:rPr/>
  </w:style>
  <w:style w:type="character" w:styleId="CommentSubjectChar" w:customStyle="1">
    <w:name w:val="Comment Subject Char"/>
    <w:basedOn w:val="CommentTextChar"/>
    <w:link w:val="annotationsubject"/>
    <w:uiPriority w:val="99"/>
    <w:semiHidden/>
    <w:qFormat/>
    <w:rsid w:val="00db19a7"/>
    <w:rPr>
      <w:b/>
      <w:bCs/>
      <w:sz w:val="20"/>
      <w:szCs w:val="20"/>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itle">
    <w:name w:val="Title"/>
    <w:basedOn w:val="Normal"/>
    <w:next w:val="Normal"/>
    <w:link w:val="TitleChar"/>
    <w:uiPriority w:val="10"/>
    <w:qFormat/>
    <w:rsid w:val="00582b94"/>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582b94"/>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582b94"/>
    <w:pPr>
      <w:spacing w:before="160" w:after="160"/>
      <w:jc w:val="center"/>
    </w:pPr>
    <w:rPr>
      <w:i/>
      <w:iCs/>
      <w:color w:themeColor="text1" w:themeTint="bf" w:val="404040"/>
    </w:rPr>
  </w:style>
  <w:style w:type="paragraph" w:styleId="ListParagraph">
    <w:name w:val="List Paragraph"/>
    <w:basedOn w:val="Normal"/>
    <w:uiPriority w:val="34"/>
    <w:qFormat/>
    <w:rsid w:val="00582b94"/>
    <w:pPr>
      <w:spacing w:before="0" w:after="160"/>
      <w:ind w:start="720"/>
      <w:contextualSpacing/>
    </w:pPr>
    <w:rPr/>
  </w:style>
  <w:style w:type="paragraph" w:styleId="IntenseQuote">
    <w:name w:val="Intense Quote"/>
    <w:basedOn w:val="Normal"/>
    <w:next w:val="Normal"/>
    <w:link w:val="IntenseQuoteChar"/>
    <w:uiPriority w:val="30"/>
    <w:qFormat/>
    <w:rsid w:val="00582b94"/>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CommentText">
    <w:name w:val="annotation text"/>
    <w:basedOn w:val="Normal"/>
    <w:link w:val="CommentTextChar"/>
    <w:uiPriority w:val="99"/>
    <w:unhideWhenUsed/>
    <w:pPr>
      <w:spacing w:lineRule="auto" w:line="240"/>
    </w:pPr>
    <w:rPr>
      <w:sz w:val="20"/>
      <w:szCs w:val="20"/>
    </w:rPr>
  </w:style>
  <w:style w:type="paragraph" w:styleId="Revision">
    <w:name w:val="Revision"/>
    <w:uiPriority w:val="99"/>
    <w:semiHidden/>
    <w:qFormat/>
    <w:rsid w:val="00301a58"/>
    <w:pPr>
      <w:widowControl/>
      <w:suppressAutoHyphens w:val="true"/>
      <w:bidi w:val="0"/>
      <w:spacing w:lineRule="auto" w:line="240" w:before="0" w:after="0"/>
      <w:jc w:val="start"/>
    </w:pPr>
    <w:rPr>
      <w:rFonts w:ascii="Aptos" w:hAnsi="Aptos" w:eastAsia="Aptos" w:cs="" w:asciiTheme="minorHAnsi" w:cstheme="minorBidi" w:eastAsiaTheme="minorHAnsi" w:hAnsiTheme="minorHAnsi"/>
      <w:color w:val="auto"/>
      <w:kern w:val="2"/>
      <w:sz w:val="24"/>
      <w:szCs w:val="24"/>
      <w:lang w:val="en-NL" w:eastAsia="en-US" w:bidi="ar-SA"/>
      <w14:ligatures w14:val="standardContextual"/>
    </w:rPr>
  </w:style>
  <w:style w:type="paragraph" w:styleId="HeaderandFooter">
    <w:name w:val="Header and Footer"/>
    <w:basedOn w:val="Normal"/>
    <w:qFormat/>
    <w:pPr/>
    <w:rPr/>
  </w:style>
  <w:style w:type="paragraph" w:styleId="Footer">
    <w:name w:val="footer"/>
    <w:basedOn w:val="Normal"/>
    <w:link w:val="FooterChar"/>
    <w:uiPriority w:val="99"/>
    <w:unhideWhenUsed/>
    <w:rsid w:val="00f55c03"/>
    <w:pPr>
      <w:tabs>
        <w:tab w:val="clear" w:pos="720"/>
        <w:tab w:val="center" w:pos="4513" w:leader="none"/>
        <w:tab w:val="right" w:pos="9026" w:leader="none"/>
      </w:tabs>
      <w:spacing w:lineRule="auto" w:line="240" w:before="0" w:after="0"/>
    </w:pPr>
    <w:rPr/>
  </w:style>
  <w:style w:type="paragraph" w:styleId="Header">
    <w:name w:val="header"/>
    <w:basedOn w:val="Normal"/>
    <w:link w:val="HeaderChar"/>
    <w:uiPriority w:val="99"/>
    <w:unhideWhenUsed/>
    <w:rsid w:val="00eb220f"/>
    <w:pPr>
      <w:tabs>
        <w:tab w:val="clear" w:pos="720"/>
        <w:tab w:val="center" w:pos="4513" w:leader="none"/>
        <w:tab w:val="right" w:pos="9026" w:leader="none"/>
      </w:tabs>
      <w:spacing w:lineRule="auto" w:line="240" w:before="0" w:after="0"/>
    </w:pPr>
    <w:rPr/>
  </w:style>
  <w:style w:type="paragraph" w:styleId="annotationsubject">
    <w:name w:val="annotation subject"/>
    <w:basedOn w:val="CommentText"/>
    <w:next w:val="CommentText"/>
    <w:link w:val="CommentSubjectChar"/>
    <w:uiPriority w:val="99"/>
    <w:semiHidden/>
    <w:unhideWhenUsed/>
    <w:qFormat/>
    <w:rsid w:val="00db19a7"/>
    <w:pPr/>
    <w:rPr>
      <w:b/>
      <w:bCs/>
    </w:rPr>
  </w:style>
  <w:style w:type="paragraph" w:styleId="FrameContents">
    <w:name w:val="Frame Contents"/>
    <w:basedOn w:val="Normal"/>
    <w:qFormat/>
    <w:pPr/>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TotalTime>
  <Application>Collabora_Office/25.04.9.4$Linux_X86_64 LibreOffice_project/bbf180856f1919e69a04fdf6175ff4f11f52e1db</Application>
  <AppVersion>15.0000</AppVersion>
  <Pages>2</Pages>
  <Words>545</Words>
  <Characters>3379</Characters>
  <CharactersWithSpaces>3921</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2025-09-05T08:37:00Z</dcterms:created>
  <dc:creator>Steen, B.S. van der (Bart)</dc:creator>
  <dc:description/>
  <dc:language>en-US</dc:language>
  <cp:lastModifiedBy/>
  <dcterms:modified xsi:type="dcterms:W3CDTF">2026-05-26T09:30:58Z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#000000,10,Aptos</vt:lpwstr>
  </property>
  <property fmtid="{D5CDD505-2E9C-101B-9397-08002B2CF9AE}" pid="3" name="ClassificationContentMarkingFooterShapeIds">
    <vt:lpwstr>1fe47159,2d97ad7f,7ec14fe3</vt:lpwstr>
  </property>
  <property fmtid="{D5CDD505-2E9C-101B-9397-08002B2CF9AE}" pid="4" name="ClassificationContentMarkingFooterText">
    <vt:lpwstr>Classified as Internal | Intern</vt:lpwstr>
  </property>
</Properties>
</file>